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9865"/>
      </w:tblGrid>
      <w:tr>
        <w:tc>
          <w:tcPr>
            <w:tcW w:type="dxa" w:w="9865"/>
            <w:shd w:val="clear" w:color="auto" w:fill="111827"/>
            <w:tcMar>
              <w:top w:w="340" w:type="dxa"/>
              <w:left w:w="396" w:type="dxa"/>
              <w:bottom w:w="311" w:type="dxa"/>
              <w:right w:w="396" w:type="dxa"/>
            </w:tcMar>
          </w:tcPr>
          <w:p>
            <w:pPr>
              <w:spacing w:before="0" w:after="40"/>
            </w:pPr>
            <w:r>
              <w:rPr>
                <w:rFonts w:ascii="Cambria" w:hAnsi="Cambria" w:eastAsia="Cambria"/>
                <w:b/>
                <w:color w:val="FFFFFF"/>
                <w:spacing w:val="30"/>
                <w:sz w:val="56"/>
              </w:rPr>
              <w:t>YOUR FULL NAME</w:t>
            </w:r>
          </w:p>
          <w:p>
            <w:pPr>
              <w:spacing w:before="0" w:after="120"/>
            </w:pPr>
            <w:r>
              <w:rPr>
                <w:color w:val="C9A86A"/>
                <w:sz w:val="23"/>
              </w:rPr>
              <w:t>Chief Operating Officer  |  Manufacturing &amp; Supply Chain  |  P&amp;L up to USD 250M</w:t>
            </w:r>
          </w:p>
          <w:p>
            <w:pPr>
              <w:spacing w:before="0" w:after="0"/>
            </w:pPr>
            <w:r>
              <w:rPr>
                <w:color w:val="CBD5E1"/>
                <w:sz w:val="19"/>
              </w:rPr>
              <w:t>City, Country  •  +00 300 0000000  •  your.name@email.com  •  linkedin.com/in/yourname</w:t>
            </w:r>
          </w:p>
        </w:tc>
      </w:tr>
    </w:tbl>
    <w:p>
      <w:pPr>
        <w:keepNext/>
        <w:pBdr>
          <w:bottom w:val="single" w:sz="8" w:space="3" w:color="C9A86A"/>
        </w:pBdr>
        <w:spacing w:before="280" w:after="120"/>
      </w:pPr>
      <w:r>
        <w:rPr>
          <w:rFonts w:ascii="Cambria" w:hAnsi="Cambria" w:eastAsia="Cambria"/>
          <w:b/>
          <w:caps/>
          <w:color w:val="111827"/>
          <w:spacing w:val="40"/>
          <w:sz w:val="24"/>
        </w:rPr>
        <w:t>Executive profile</w:t>
      </w:r>
    </w:p>
    <w:p>
      <w:pPr>
        <w:spacing w:before="0" w:after="40" w:line="288" w:lineRule="auto"/>
      </w:pPr>
      <w:r>
        <w:t>Operations executive with 20 years in consumer goods manufacturing, the last 8 at C-suite and VP level. Known for turning around margins, building strong leadership teams and delivering large ERP and footprint programmes on time. Reports to CEOs and boards and works comfortably with private equity owners.</w:t>
      </w:r>
    </w:p>
    <w:p>
      <w:pPr>
        <w:keepNext/>
        <w:pBdr>
          <w:bottom w:val="single" w:sz="8" w:space="3" w:color="C9A86A"/>
        </w:pBdr>
        <w:spacing w:before="280" w:after="120"/>
      </w:pPr>
      <w:r>
        <w:rPr>
          <w:rFonts w:ascii="Cambria" w:hAnsi="Cambria" w:eastAsia="Cambria"/>
          <w:b/>
          <w:caps/>
          <w:color w:val="111827"/>
          <w:spacing w:val="40"/>
          <w:sz w:val="24"/>
        </w:rPr>
        <w:t>Key achievements</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2381"/>
        <w:gridCol w:w="113"/>
        <w:gridCol w:w="2381"/>
        <w:gridCol w:w="113"/>
        <w:gridCol w:w="2381"/>
        <w:gridCol w:w="113"/>
        <w:gridCol w:w="2381"/>
      </w:tblGrid>
      <w:tr>
        <w:tc>
          <w:tcPr>
            <w:tcW w:type="dxa" w:w="2381"/>
            <w:tcBorders>
              <w:top w:val="single" w:sz="18" w:space="0" w:color="C9A86A"/>
            </w:tcBorders>
            <w:shd w:val="clear" w:color="auto" w:fill="F8F4EB"/>
            <w:tcMar>
              <w:top w:w="141" w:type="dxa"/>
              <w:left w:w="170" w:type="dxa"/>
              <w:bottom w:w="141" w:type="dxa"/>
              <w:right w:w="113" w:type="dxa"/>
            </w:tcMar>
          </w:tcPr>
          <w:p>
            <w:pPr>
              <w:spacing w:before="0" w:after="0"/>
            </w:pPr>
            <w:r>
              <w:rPr>
                <w:rFonts w:ascii="Cambria" w:hAnsi="Cambria" w:eastAsia="Cambria"/>
                <w:b/>
                <w:color w:val="8A6A2F"/>
                <w:sz w:val="40"/>
              </w:rPr>
              <w:t>+6 pts</w:t>
            </w:r>
          </w:p>
          <w:p>
            <w:pPr>
              <w:spacing w:before="0" w:after="0"/>
            </w:pPr>
            <w:r>
              <w:rPr>
                <w:color w:val="475569"/>
                <w:sz w:val="18"/>
              </w:rPr>
              <w:t>EBITDA margin in three years</w:t>
            </w:r>
          </w:p>
        </w:tc>
        <w:tc>
          <w:tcPr>
            <w:tcW w:type="dxa" w:w="113"/>
          </w:tcPr>
          <w:p/>
        </w:tc>
        <w:tc>
          <w:tcPr>
            <w:tcW w:type="dxa" w:w="2381"/>
            <w:tcBorders>
              <w:top w:val="single" w:sz="18" w:space="0" w:color="C9A86A"/>
            </w:tcBorders>
            <w:shd w:val="clear" w:color="auto" w:fill="F8F4EB"/>
            <w:tcMar>
              <w:top w:w="141" w:type="dxa"/>
              <w:left w:w="170" w:type="dxa"/>
              <w:bottom w:w="141" w:type="dxa"/>
              <w:right w:w="113" w:type="dxa"/>
            </w:tcMar>
          </w:tcPr>
          <w:p>
            <w:pPr>
              <w:spacing w:before="0" w:after="0"/>
            </w:pPr>
            <w:r>
              <w:rPr>
                <w:rFonts w:ascii="Cambria" w:hAnsi="Cambria" w:eastAsia="Cambria"/>
                <w:b/>
                <w:color w:val="8A6A2F"/>
                <w:sz w:val="40"/>
              </w:rPr>
              <w:t>USD 9M</w:t>
            </w:r>
          </w:p>
          <w:p>
            <w:pPr>
              <w:spacing w:before="0" w:after="0"/>
            </w:pPr>
            <w:r>
              <w:rPr>
                <w:color w:val="475569"/>
                <w:sz w:val="18"/>
              </w:rPr>
              <w:t>yearly logistics savings</w:t>
            </w:r>
          </w:p>
        </w:tc>
        <w:tc>
          <w:tcPr>
            <w:tcW w:type="dxa" w:w="113"/>
          </w:tcPr>
          <w:p/>
        </w:tc>
        <w:tc>
          <w:tcPr>
            <w:tcW w:type="dxa" w:w="2381"/>
            <w:tcBorders>
              <w:top w:val="single" w:sz="18" w:space="0" w:color="C9A86A"/>
            </w:tcBorders>
            <w:shd w:val="clear" w:color="auto" w:fill="F8F4EB"/>
            <w:tcMar>
              <w:top w:w="141" w:type="dxa"/>
              <w:left w:w="170" w:type="dxa"/>
              <w:bottom w:w="141" w:type="dxa"/>
              <w:right w:w="113" w:type="dxa"/>
            </w:tcMar>
          </w:tcPr>
          <w:p>
            <w:pPr>
              <w:spacing w:before="0" w:after="0"/>
            </w:pPr>
            <w:r>
              <w:rPr>
                <w:rFonts w:ascii="Cambria" w:hAnsi="Cambria" w:eastAsia="Cambria"/>
                <w:b/>
                <w:color w:val="8A6A2F"/>
                <w:sz w:val="40"/>
              </w:rPr>
              <w:t>2,400</w:t>
            </w:r>
          </w:p>
          <w:p>
            <w:pPr>
              <w:spacing w:before="0" w:after="0"/>
            </w:pPr>
            <w:r>
              <w:rPr>
                <w:color w:val="475569"/>
                <w:sz w:val="18"/>
              </w:rPr>
              <w:t>people led across 5 plants</w:t>
            </w:r>
          </w:p>
        </w:tc>
        <w:tc>
          <w:tcPr>
            <w:tcW w:type="dxa" w:w="113"/>
          </w:tcPr>
          <w:p/>
        </w:tc>
        <w:tc>
          <w:tcPr>
            <w:tcW w:type="dxa" w:w="2381"/>
            <w:tcBorders>
              <w:top w:val="single" w:sz="18" w:space="0" w:color="C9A86A"/>
            </w:tcBorders>
            <w:shd w:val="clear" w:color="auto" w:fill="F8F4EB"/>
            <w:tcMar>
              <w:top w:w="141" w:type="dxa"/>
              <w:left w:w="170" w:type="dxa"/>
              <w:bottom w:w="141" w:type="dxa"/>
              <w:right w:w="113" w:type="dxa"/>
            </w:tcMar>
          </w:tcPr>
          <w:p>
            <w:pPr>
              <w:spacing w:before="0" w:after="0"/>
            </w:pPr>
            <w:r>
              <w:rPr>
                <w:rFonts w:ascii="Cambria" w:hAnsi="Cambria" w:eastAsia="Cambria"/>
                <w:b/>
                <w:color w:val="8A6A2F"/>
                <w:sz w:val="40"/>
              </w:rPr>
              <w:t>100%</w:t>
            </w:r>
          </w:p>
          <w:p>
            <w:pPr>
              <w:spacing w:before="0" w:after="0"/>
            </w:pPr>
            <w:r>
              <w:rPr>
                <w:color w:val="475569"/>
                <w:sz w:val="18"/>
              </w:rPr>
              <w:t>ERP go-lives on time and budget</w:t>
            </w:r>
          </w:p>
        </w:tc>
      </w:tr>
    </w:tbl>
    <w:p>
      <w:pPr>
        <w:keepNext/>
        <w:pBdr>
          <w:bottom w:val="single" w:sz="8" w:space="3" w:color="C9A86A"/>
        </w:pBdr>
        <w:spacing w:before="280" w:after="120"/>
      </w:pPr>
      <w:r>
        <w:rPr>
          <w:rFonts w:ascii="Cambria" w:hAnsi="Cambria" w:eastAsia="Cambria"/>
          <w:b/>
          <w:caps/>
          <w:color w:val="111827"/>
          <w:spacing w:val="40"/>
          <w:sz w:val="24"/>
        </w:rPr>
        <w:t>Core competencies</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3288"/>
        <w:gridCol w:w="3288"/>
        <w:gridCol w:w="3288"/>
      </w:tblGrid>
      <w:tr>
        <w:tc>
          <w:tcPr>
            <w:tcW w:type="dxa" w:w="3288"/>
          </w:tcPr>
          <w:p>
            <w:pPr>
              <w:tabs>
                <w:tab w:pos="238" w:val="left"/>
              </w:tabs>
              <w:spacing w:before="0" w:after="30"/>
              <w:ind w:left="238" w:hanging="238"/>
            </w:pPr>
            <w:r>
              <w:rPr>
                <w:b/>
                <w:color w:val="C9A86A"/>
                <w:sz w:val="20"/>
              </w:rPr>
              <w:t>—</w:t>
              <w:tab/>
            </w:r>
            <w:r>
              <w:rPr>
                <w:sz w:val="20"/>
              </w:rPr>
              <w:t>P&amp;L and margin improvement</w:t>
            </w:r>
          </w:p>
          <w:p>
            <w:pPr>
              <w:tabs>
                <w:tab w:pos="238" w:val="left"/>
              </w:tabs>
              <w:spacing w:before="0" w:after="30"/>
              <w:ind w:left="238" w:hanging="238"/>
            </w:pPr>
            <w:r>
              <w:rPr>
                <w:b/>
                <w:color w:val="C9A86A"/>
                <w:sz w:val="20"/>
              </w:rPr>
              <w:t>—</w:t>
              <w:tab/>
            </w:r>
            <w:r>
              <w:rPr>
                <w:sz w:val="20"/>
              </w:rPr>
              <w:t>Lean / Six Sigma operations</w:t>
            </w:r>
          </w:p>
          <w:p>
            <w:pPr>
              <w:tabs>
                <w:tab w:pos="238" w:val="left"/>
              </w:tabs>
              <w:spacing w:before="0" w:after="30"/>
              <w:ind w:left="238" w:hanging="238"/>
            </w:pPr>
            <w:r>
              <w:rPr>
                <w:b/>
                <w:color w:val="C9A86A"/>
                <w:sz w:val="20"/>
              </w:rPr>
              <w:t>—</w:t>
              <w:tab/>
            </w:r>
            <w:r>
              <w:rPr>
                <w:sz w:val="20"/>
              </w:rPr>
              <w:t>Supply chain network design</w:t>
            </w:r>
          </w:p>
        </w:tc>
        <w:tc>
          <w:tcPr>
            <w:tcW w:type="dxa" w:w="3288"/>
          </w:tcPr>
          <w:p>
            <w:pPr>
              <w:tabs>
                <w:tab w:pos="238" w:val="left"/>
              </w:tabs>
              <w:spacing w:before="0" w:after="30"/>
              <w:ind w:left="238" w:hanging="238"/>
            </w:pPr>
            <w:r>
              <w:rPr>
                <w:b/>
                <w:color w:val="C9A86A"/>
                <w:sz w:val="20"/>
              </w:rPr>
              <w:t>—</w:t>
              <w:tab/>
            </w:r>
            <w:r>
              <w:rPr>
                <w:sz w:val="20"/>
              </w:rPr>
              <w:t>ERP transformation (SAP S/4HANA)</w:t>
            </w:r>
          </w:p>
          <w:p>
            <w:pPr>
              <w:tabs>
                <w:tab w:pos="238" w:val="left"/>
              </w:tabs>
              <w:spacing w:before="0" w:after="30"/>
              <w:ind w:left="238" w:hanging="238"/>
            </w:pPr>
            <w:r>
              <w:rPr>
                <w:b/>
                <w:color w:val="C9A86A"/>
                <w:sz w:val="20"/>
              </w:rPr>
              <w:t>—</w:t>
              <w:tab/>
            </w:r>
            <w:r>
              <w:rPr>
                <w:sz w:val="20"/>
              </w:rPr>
              <w:t>M&amp;A integration</w:t>
            </w:r>
          </w:p>
          <w:p>
            <w:pPr>
              <w:tabs>
                <w:tab w:pos="238" w:val="left"/>
              </w:tabs>
              <w:spacing w:before="0" w:after="30"/>
              <w:ind w:left="238" w:hanging="238"/>
            </w:pPr>
            <w:r>
              <w:rPr>
                <w:b/>
                <w:color w:val="C9A86A"/>
                <w:sz w:val="20"/>
              </w:rPr>
              <w:t>—</w:t>
              <w:tab/>
            </w:r>
            <w:r>
              <w:rPr>
                <w:sz w:val="20"/>
              </w:rPr>
              <w:t>Capex and cost programmes</w:t>
            </w:r>
          </w:p>
        </w:tc>
        <w:tc>
          <w:tcPr>
            <w:tcW w:type="dxa" w:w="3288"/>
          </w:tcPr>
          <w:p>
            <w:pPr>
              <w:tabs>
                <w:tab w:pos="238" w:val="left"/>
              </w:tabs>
              <w:spacing w:before="0" w:after="30"/>
              <w:ind w:left="238" w:hanging="238"/>
            </w:pPr>
            <w:r>
              <w:rPr>
                <w:b/>
                <w:color w:val="C9A86A"/>
                <w:sz w:val="20"/>
              </w:rPr>
              <w:t>—</w:t>
              <w:tab/>
            </w:r>
            <w:r>
              <w:rPr>
                <w:sz w:val="20"/>
              </w:rPr>
              <w:t>Executive team building</w:t>
            </w:r>
          </w:p>
          <w:p>
            <w:pPr>
              <w:tabs>
                <w:tab w:pos="238" w:val="left"/>
              </w:tabs>
              <w:spacing w:before="0" w:after="30"/>
              <w:ind w:left="238" w:hanging="238"/>
            </w:pPr>
            <w:r>
              <w:rPr>
                <w:b/>
                <w:color w:val="C9A86A"/>
                <w:sz w:val="20"/>
              </w:rPr>
              <w:t>—</w:t>
              <w:tab/>
            </w:r>
            <w:r>
              <w:rPr>
                <w:sz w:val="20"/>
              </w:rPr>
              <w:t>Board and investor reporting</w:t>
            </w:r>
          </w:p>
          <w:p>
            <w:pPr>
              <w:tabs>
                <w:tab w:pos="238" w:val="left"/>
              </w:tabs>
              <w:spacing w:before="0" w:after="30"/>
              <w:ind w:left="238" w:hanging="238"/>
            </w:pPr>
            <w:r>
              <w:rPr>
                <w:b/>
                <w:color w:val="C9A86A"/>
                <w:sz w:val="20"/>
              </w:rPr>
              <w:t>—</w:t>
              <w:tab/>
            </w:r>
            <w:r>
              <w:rPr>
                <w:sz w:val="20"/>
              </w:rPr>
              <w:t>Health, safety and ESG</w:t>
            </w:r>
          </w:p>
        </w:tc>
      </w:tr>
    </w:tbl>
    <w:p>
      <w:pPr>
        <w:keepNext/>
        <w:pBdr>
          <w:bottom w:val="single" w:sz="8" w:space="3" w:color="C9A86A"/>
        </w:pBdr>
        <w:spacing w:before="280" w:after="120"/>
      </w:pPr>
      <w:r>
        <w:rPr>
          <w:rFonts w:ascii="Cambria" w:hAnsi="Cambria" w:eastAsia="Cambria"/>
          <w:b/>
          <w:caps/>
          <w:color w:val="111827"/>
          <w:spacing w:val="40"/>
          <w:sz w:val="24"/>
        </w:rPr>
        <w:t>Career history</w:t>
      </w:r>
    </w:p>
    <w:p>
      <w:pPr>
        <w:keepNext/>
        <w:tabs>
          <w:tab w:pos="9865" w:val="right"/>
        </w:tabs>
        <w:spacing w:before="180" w:after="0"/>
      </w:pPr>
      <w:r>
        <w:rPr>
          <w:rFonts w:ascii="Cambria" w:hAnsi="Cambria" w:eastAsia="Cambria"/>
          <w:b/>
          <w:sz w:val="23"/>
        </w:rPr>
        <w:t>Chief Operating Officer</w:t>
      </w:r>
      <w:r>
        <w:rPr>
          <w:color w:val="475569"/>
        </w:rPr>
        <w:t xml:space="preserve">  ·  [Company Name], City, Country</w:t>
      </w:r>
      <w:r>
        <w:rPr>
          <w:color w:val="8A6A2F"/>
        </w:rPr>
        <w:tab/>
        <w:t>2021 – Present</w:t>
      </w:r>
    </w:p>
    <w:p>
      <w:pPr>
        <w:spacing w:before="0" w:after="60"/>
      </w:pPr>
      <w:r>
        <w:rPr>
          <w:i/>
          <w:color w:val="475569"/>
          <w:sz w:val="19"/>
        </w:rPr>
        <w:t>Packaged-foods manufacturer: 5 plants, 2,400 staff, revenue USD 250M. Reports to the CEO; member of the executive committee.</w:t>
      </w:r>
    </w:p>
    <w:p>
      <w:pPr>
        <w:tabs>
          <w:tab w:pos="238" w:val="left"/>
        </w:tabs>
        <w:spacing w:before="0" w:after="30"/>
        <w:ind w:left="238" w:hanging="238"/>
      </w:pPr>
      <w:r>
        <w:rPr>
          <w:b/>
          <w:color w:val="C9A86A"/>
        </w:rPr>
        <w:t>▪</w:t>
        <w:tab/>
      </w:r>
      <w:r>
        <w:t>Led a three-year operations transformation that raised EBITDA margin from 11% to 17%.</w:t>
      </w:r>
    </w:p>
    <w:p>
      <w:pPr>
        <w:tabs>
          <w:tab w:pos="238" w:val="left"/>
        </w:tabs>
        <w:spacing w:before="0" w:after="30"/>
        <w:ind w:left="238" w:hanging="238"/>
      </w:pPr>
      <w:r>
        <w:rPr>
          <w:b/>
          <w:color w:val="C9A86A"/>
        </w:rPr>
        <w:t>▪</w:t>
        <w:tab/>
      </w:r>
      <w:r>
        <w:t>Consolidated 7 warehouses into 3 regional hubs, cutting logistics cost by 22% (USD 9M a year).</w:t>
      </w:r>
    </w:p>
    <w:p>
      <w:pPr>
        <w:tabs>
          <w:tab w:pos="238" w:val="left"/>
        </w:tabs>
        <w:spacing w:before="0" w:after="30"/>
        <w:ind w:left="238" w:hanging="238"/>
      </w:pPr>
      <w:r>
        <w:rPr>
          <w:b/>
          <w:color w:val="C9A86A"/>
        </w:rPr>
        <w:t>▪</w:t>
        <w:tab/>
      </w:r>
      <w:r>
        <w:t>Delivered SAP S/4HANA across all plants on time and within budget.</w:t>
      </w:r>
    </w:p>
    <w:p>
      <w:pPr>
        <w:tabs>
          <w:tab w:pos="238" w:val="left"/>
        </w:tabs>
        <w:spacing w:before="0" w:after="30"/>
        <w:ind w:left="238" w:hanging="238"/>
      </w:pPr>
      <w:r>
        <w:rPr>
          <w:b/>
          <w:color w:val="C9A86A"/>
        </w:rPr>
        <w:t>▪</w:t>
        <w:tab/>
      </w:r>
      <w:r>
        <w:t>Built a succession plan that now fills 80% of senior roles internally.</w:t>
      </w:r>
    </w:p>
    <w:p>
      <w:pPr>
        <w:keepNext/>
        <w:tabs>
          <w:tab w:pos="9865" w:val="right"/>
        </w:tabs>
        <w:spacing w:before="180" w:after="0"/>
      </w:pPr>
      <w:r>
        <w:rPr>
          <w:rFonts w:ascii="Cambria" w:hAnsi="Cambria" w:eastAsia="Cambria"/>
          <w:b/>
          <w:sz w:val="23"/>
        </w:rPr>
        <w:t>Vice President, Operations</w:t>
      </w:r>
      <w:r>
        <w:rPr>
          <w:color w:val="475569"/>
        </w:rPr>
        <w:t xml:space="preserve">  ·  [Company Name], City, Country</w:t>
      </w:r>
      <w:r>
        <w:rPr>
          <w:color w:val="8A6A2F"/>
        </w:rPr>
        <w:tab/>
        <w:t>2016 – 2021</w:t>
      </w:r>
    </w:p>
    <w:p>
      <w:pPr>
        <w:spacing w:before="0" w:after="60"/>
      </w:pPr>
      <w:r>
        <w:rPr>
          <w:i/>
          <w:color w:val="475569"/>
          <w:sz w:val="19"/>
        </w:rPr>
        <w:t>Beverage group, 3 plants and 1,100 staff; reporting to the COO.</w:t>
      </w:r>
    </w:p>
    <w:p>
      <w:pPr>
        <w:tabs>
          <w:tab w:pos="238" w:val="left"/>
        </w:tabs>
        <w:spacing w:before="0" w:after="30"/>
        <w:ind w:left="238" w:hanging="238"/>
      </w:pPr>
      <w:r>
        <w:rPr>
          <w:b/>
          <w:color w:val="C9A86A"/>
        </w:rPr>
        <w:t>▪</w:t>
        <w:tab/>
      </w:r>
      <w:r>
        <w:t>Raised overall equipment effectiveness from 61% to 78% with a Lean programme.</w:t>
      </w:r>
    </w:p>
    <w:p>
      <w:pPr>
        <w:tabs>
          <w:tab w:pos="238" w:val="left"/>
        </w:tabs>
        <w:spacing w:before="0" w:after="30"/>
        <w:ind w:left="238" w:hanging="238"/>
      </w:pPr>
      <w:r>
        <w:rPr>
          <w:b/>
          <w:color w:val="C9A86A"/>
        </w:rPr>
        <w:t>▪</w:t>
        <w:tab/>
      </w:r>
      <w:r>
        <w:t>Integrated an acquired plant within 9 months, keeping full customer service levels.</w:t>
      </w:r>
    </w:p>
    <w:p>
      <w:pPr>
        <w:keepNext/>
        <w:tabs>
          <w:tab w:pos="9865" w:val="right"/>
        </w:tabs>
        <w:spacing w:before="180" w:after="0"/>
      </w:pPr>
      <w:r>
        <w:rPr>
          <w:rFonts w:ascii="Cambria" w:hAnsi="Cambria" w:eastAsia="Cambria"/>
          <w:b/>
          <w:sz w:val="23"/>
        </w:rPr>
        <w:t>Director, Supply Chain</w:t>
      </w:r>
      <w:r>
        <w:rPr>
          <w:color w:val="475569"/>
        </w:rPr>
        <w:t xml:space="preserve">  ·  [Company Name], City, Country</w:t>
      </w:r>
      <w:r>
        <w:rPr>
          <w:color w:val="8A6A2F"/>
        </w:rPr>
        <w:tab/>
        <w:t>2011 – 2016</w:t>
      </w:r>
    </w:p>
    <w:p>
      <w:pPr>
        <w:spacing w:before="0" w:after="60"/>
      </w:pPr>
      <w:r>
        <w:rPr>
          <w:i/>
          <w:color w:val="475569"/>
          <w:sz w:val="19"/>
        </w:rPr>
        <w:t>Regional supply chain for a multinational FMCG business.</w:t>
      </w:r>
    </w:p>
    <w:p>
      <w:pPr>
        <w:tabs>
          <w:tab w:pos="238" w:val="left"/>
        </w:tabs>
        <w:spacing w:before="0" w:after="30"/>
        <w:ind w:left="238" w:hanging="238"/>
      </w:pPr>
      <w:r>
        <w:rPr>
          <w:b/>
          <w:color w:val="C9A86A"/>
        </w:rPr>
        <w:t>▪</w:t>
        <w:tab/>
      </w:r>
      <w:r>
        <w:t>Cut inventory by USD 14M while improving on-time delivery from 89% to 97%.</w:t>
      </w:r>
    </w:p>
    <w:p>
      <w:pPr>
        <w:spacing w:before="120" w:after="40"/>
      </w:pPr>
      <w:r>
        <w:rPr>
          <w:i/>
          <w:color w:val="475569"/>
        </w:rPr>
        <w:t>Earlier career: Plant Manager and Operations Manager roles at [Company Names], 2003 – 2011.</w:t>
      </w:r>
    </w:p>
    <w:p>
      <w:pPr>
        <w:keepNext/>
        <w:pBdr>
          <w:bottom w:val="single" w:sz="8" w:space="3" w:color="C9A86A"/>
        </w:pBdr>
        <w:spacing w:before="280" w:after="120"/>
      </w:pPr>
      <w:r>
        <w:rPr>
          <w:rFonts w:ascii="Cambria" w:hAnsi="Cambria" w:eastAsia="Cambria"/>
          <w:b/>
          <w:caps/>
          <w:color w:val="111827"/>
          <w:spacing w:val="40"/>
          <w:sz w:val="24"/>
        </w:rPr>
        <w:t>Board &amp; advisory roles</w:t>
      </w:r>
    </w:p>
    <w:p>
      <w:pPr>
        <w:tabs>
          <w:tab w:pos="238" w:val="left"/>
        </w:tabs>
        <w:spacing w:before="0" w:after="30"/>
        <w:ind w:left="238" w:hanging="238"/>
      </w:pPr>
      <w:r>
        <w:rPr>
          <w:b/>
          <w:color w:val="C9A86A"/>
        </w:rPr>
        <w:t>▪</w:t>
        <w:tab/>
      </w:r>
      <w:r>
        <w:t>Non-executive director, [Industry Association], 2022 – present</w:t>
      </w:r>
    </w:p>
    <w:p>
      <w:pPr>
        <w:tabs>
          <w:tab w:pos="238" w:val="left"/>
        </w:tabs>
        <w:spacing w:before="0" w:after="30"/>
        <w:ind w:left="238" w:hanging="238"/>
      </w:pPr>
      <w:r>
        <w:rPr>
          <w:b/>
          <w:color w:val="C9A86A"/>
        </w:rPr>
        <w:t>▪</w:t>
        <w:tab/>
      </w:r>
      <w:r>
        <w:t>Advisory board member, [University] School of Engineering, 2020 – present</w:t>
      </w:r>
    </w:p>
    <w:p>
      <w:pPr>
        <w:keepNext/>
        <w:pBdr>
          <w:bottom w:val="single" w:sz="8" w:space="3" w:color="C9A86A"/>
        </w:pBdr>
        <w:spacing w:before="280" w:after="120"/>
      </w:pPr>
      <w:r>
        <w:rPr>
          <w:rFonts w:ascii="Cambria" w:hAnsi="Cambria" w:eastAsia="Cambria"/>
          <w:b/>
          <w:caps/>
          <w:color w:val="111827"/>
          <w:spacing w:val="40"/>
          <w:sz w:val="24"/>
        </w:rPr>
        <w:t>Education</w:t>
      </w:r>
    </w:p>
    <w:p>
      <w:pPr>
        <w:keepNext/>
        <w:tabs>
          <w:tab w:pos="9865" w:val="right"/>
        </w:tabs>
        <w:spacing w:before="80" w:after="0"/>
      </w:pPr>
      <w:r>
        <w:rPr>
          <w:b/>
        </w:rPr>
        <w:t>MBA</w:t>
      </w:r>
      <w:r>
        <w:t xml:space="preserve"> — [Business School]</w:t>
      </w:r>
      <w:r>
        <w:rPr>
          <w:color w:val="8A6A2F"/>
        </w:rPr>
        <w:tab/>
        <w:t>2010</w:t>
      </w:r>
    </w:p>
    <w:p>
      <w:pPr>
        <w:keepNext/>
        <w:tabs>
          <w:tab w:pos="9865" w:val="right"/>
        </w:tabs>
        <w:spacing w:before="60" w:after="0"/>
      </w:pPr>
      <w:r>
        <w:rPr>
          <w:b/>
        </w:rPr>
        <w:t>BEng Mechanical Engineering</w:t>
      </w:r>
      <w:r>
        <w:t xml:space="preserve"> — [University]</w:t>
      </w:r>
      <w:r>
        <w:rPr>
          <w:color w:val="8A6A2F"/>
        </w:rPr>
        <w:tab/>
        <w:t>2002</w:t>
      </w:r>
    </w:p>
    <w:p>
      <w:pPr>
        <w:keepNext/>
        <w:tabs>
          <w:tab w:pos="9865" w:val="right"/>
        </w:tabs>
        <w:spacing w:before="60" w:after="0"/>
      </w:pPr>
      <w:r>
        <w:rPr>
          <w:b/>
        </w:rPr>
        <w:t>Lean Six Sigma Black Belt</w:t>
      </w:r>
      <w:r>
        <w:rPr>
          <w:color w:val="8A6A2F"/>
        </w:rPr>
        <w:tab/>
        <w:t>2012</w:t>
      </w:r>
    </w:p>
    <w:sectPr w:rsidR="00FC693F" w:rsidRPr="0006063C" w:rsidSect="00034616">
      <w:pgSz w:w="11906" w:h="16838"/>
      <w:pgMar w:top="737" w:right="1020" w:bottom="73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Calibri" w:hAnsi="Calibri" w:eastAsia="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CV Template</dc:title>
  <dc:subject/>
  <dc:creator>FileConvy</dc:creator>
  <cp:keywords/>
  <dc:description>Free template from https://www.fileconvy.com</dc:description>
  <cp:lastModifiedBy/>
  <cp:revision>1</cp:revision>
  <dcterms:created xsi:type="dcterms:W3CDTF">2013-12-23T23:15:00Z</dcterms:created>
  <dcterms:modified xsi:type="dcterms:W3CDTF">2013-12-23T23:15:00Z</dcterms:modified>
  <cp:category/>
</cp:coreProperties>
</file>