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710"/>
        <w:gridCol w:w="2154"/>
      </w:tblGrid>
      <w:tr>
        <w:tc>
          <w:tcPr>
            <w:tcW w:type="dxa" w:w="7710"/>
            <w:vAlign w:val="center"/>
          </w:tcPr>
          <w:p>
            <w:pPr>
              <w:spacing w:before="0" w:after="0"/>
            </w:pPr>
            <w:r>
              <w:rPr>
                <w:b/>
                <w:color w:val="1C1917"/>
                <w:sz w:val="52"/>
              </w:rPr>
              <w:t>YOUR FULL NAME</w:t>
            </w:r>
          </w:p>
          <w:p>
            <w:pPr>
              <w:spacing w:before="0" w:after="80"/>
            </w:pPr>
            <w:r>
              <w:rPr>
                <w:color w:val="A16207"/>
                <w:sz w:val="26"/>
              </w:rPr>
              <w:t>Business Development Executive — FMCG &amp; Retail</w:t>
            </w:r>
          </w:p>
          <w:p>
            <w:pPr>
              <w:spacing w:before="0" w:after="0"/>
            </w:pPr>
            <w:r>
              <w:rPr>
                <w:color w:val="475569"/>
                <w:sz w:val="19"/>
              </w:rPr>
              <w:t>Dubai, UAE  •  +971 50 000 0000 (WhatsApp)  •  your.name@email.com</w:t>
            </w:r>
          </w:p>
          <w:p>
            <w:pPr>
              <w:spacing w:before="0" w:after="40"/>
            </w:pPr>
            <w:r>
              <w:rPr>
                <w:color w:val="475569"/>
                <w:sz w:val="19"/>
              </w:rPr>
              <w:t>linkedin.com/in/yourname</w:t>
            </w:r>
          </w:p>
        </w:tc>
        <w:tc>
          <w:tcPr>
            <w:tcW w:type="dxa" w:w="2154"/>
          </w:tcPr>
          <w:p>
            <w:pPr>
              <w:spacing w:before="0" w:after="8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52000" cy="1459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45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40"/>
      </w:pPr>
    </w:p>
    <w:tbl>
      <w:tblPr>
        <w:tblW w:w="9865" w:type="dxa"/>
        <w:tblBorders>
          <w:top w:val="single" w:sz="4" w:space="0" w:color="E7DFC9"/>
          <w:left w:val="single" w:sz="4" w:space="0" w:color="E7DFC9"/>
          <w:bottom w:val="single" w:sz="4" w:space="0" w:color="E7DFC9"/>
          <w:right w:val="single" w:sz="4" w:space="0" w:color="E7DFC9"/>
          <w:insideH w:val="single" w:sz="4" w:space="0" w:color="E7DFC9"/>
          <w:insideV w:val="single" w:sz="4" w:space="0" w:color="E7DFC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928"/>
        <w:gridCol w:w="3005"/>
        <w:gridCol w:w="1928"/>
        <w:gridCol w:w="3005"/>
      </w:tblGrid>
      <w:tr>
        <w:tc>
          <w:tcPr>
            <w:tcW w:type="dxa" w:w="1928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A16207"/>
                <w:sz w:val="18"/>
              </w:rPr>
              <w:t>Nationality</w:t>
            </w:r>
          </w:p>
        </w:tc>
        <w:tc>
          <w:tcPr>
            <w:tcW w:type="dxa" w:w="3005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[Nationality]</w:t>
            </w:r>
          </w:p>
        </w:tc>
        <w:tc>
          <w:tcPr>
            <w:tcW w:type="dxa" w:w="1928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A16207"/>
                <w:sz w:val="18"/>
              </w:rPr>
              <w:t>Visa status</w:t>
            </w:r>
          </w:p>
        </w:tc>
        <w:tc>
          <w:tcPr>
            <w:tcW w:type="dxa" w:w="3005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[Residence visa — transferable]</w:t>
            </w:r>
          </w:p>
        </w:tc>
      </w:tr>
      <w:tr>
        <w:tc>
          <w:tcPr>
            <w:tcW w:type="dxa" w:w="1928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A16207"/>
                <w:sz w:val="18"/>
              </w:rPr>
              <w:t>Notice period</w:t>
            </w:r>
          </w:p>
        </w:tc>
        <w:tc>
          <w:tcPr>
            <w:tcW w:type="dxa" w:w="3005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[Immediate / 30 days]</w:t>
            </w:r>
          </w:p>
        </w:tc>
        <w:tc>
          <w:tcPr>
            <w:tcW w:type="dxa" w:w="1928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A16207"/>
                <w:sz w:val="18"/>
              </w:rPr>
              <w:t>Driving licence</w:t>
            </w:r>
          </w:p>
        </w:tc>
        <w:tc>
          <w:tcPr>
            <w:tcW w:type="dxa" w:w="3005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UAE licence (valid)</w:t>
            </w:r>
          </w:p>
        </w:tc>
      </w:tr>
      <w:tr>
        <w:tc>
          <w:tcPr>
            <w:tcW w:type="dxa" w:w="1928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A16207"/>
                <w:sz w:val="18"/>
              </w:rPr>
              <w:t>Date of birth</w:t>
            </w:r>
          </w:p>
        </w:tc>
        <w:tc>
          <w:tcPr>
            <w:tcW w:type="dxa" w:w="3005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[DD/MM/YYYY] (optional)</w:t>
            </w:r>
          </w:p>
        </w:tc>
        <w:tc>
          <w:tcPr>
            <w:tcW w:type="dxa" w:w="1928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A16207"/>
                <w:sz w:val="18"/>
              </w:rPr>
              <w:t>Languages</w:t>
            </w:r>
          </w:p>
        </w:tc>
        <w:tc>
          <w:tcPr>
            <w:tcW w:type="dxa" w:w="3005"/>
            <w:shd w:val="clear" w:color="auto" w:fill="FBF7EE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English, Arabic (basic), Hindi</w:t>
            </w:r>
          </w:p>
        </w:tc>
      </w:tr>
    </w:tbl>
    <w:p>
      <w:pPr>
        <w:keepNext/>
        <w:pBdr>
          <w:bottom w:val="single" w:sz="8" w:space="3" w:color="A16207"/>
        </w:pBdr>
        <w:spacing w:before="240" w:after="100"/>
      </w:pPr>
      <w:r>
        <w:rPr>
          <w:b/>
          <w:caps/>
          <w:color w:val="1C1917"/>
          <w:spacing w:val="30"/>
          <w:sz w:val="23"/>
        </w:rPr>
        <w:t>Professional summary</w:t>
      </w:r>
    </w:p>
    <w:p>
      <w:pPr>
        <w:spacing w:before="0" w:after="40" w:line="276" w:lineRule="auto"/>
      </w:pPr>
      <w:r>
        <w:t>Business development executive with 6 years of B2B sales in FMCG, including 4 years in the UAE market. Manages key accounts with hypermarkets and supermarkets across all seven emirates and consistently beats targets. Available to join [immediately / within 30 days].</w:t>
      </w:r>
    </w:p>
    <w:p>
      <w:pPr>
        <w:keepNext/>
        <w:pBdr>
          <w:bottom w:val="single" w:sz="8" w:space="3" w:color="A16207"/>
        </w:pBdr>
        <w:spacing w:before="240" w:after="100"/>
      </w:pPr>
      <w:r>
        <w:rPr>
          <w:b/>
          <w:caps/>
          <w:color w:val="1C1917"/>
          <w:spacing w:val="30"/>
          <w:sz w:val="23"/>
        </w:rPr>
        <w:t>Core skills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c>
          <w:tcPr>
            <w:tcW w:type="dxa" w:w="3288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A16207"/>
                <w:sz w:val="20"/>
              </w:rPr>
              <w:t>▪</w:t>
              <w:tab/>
            </w:r>
            <w:r>
              <w:rPr>
                <w:sz w:val="20"/>
              </w:rPr>
              <w:t>Key account management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A16207"/>
                <w:sz w:val="20"/>
              </w:rPr>
              <w:t>▪</w:t>
              <w:tab/>
            </w:r>
            <w:r>
              <w:rPr>
                <w:sz w:val="20"/>
              </w:rPr>
              <w:t>New business development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A16207"/>
                <w:sz w:val="20"/>
              </w:rPr>
              <w:t>▪</w:t>
              <w:tab/>
            </w:r>
            <w:r>
              <w:rPr>
                <w:sz w:val="20"/>
              </w:rPr>
              <w:t>Trade marketing</w:t>
            </w:r>
          </w:p>
        </w:tc>
        <w:tc>
          <w:tcPr>
            <w:tcW w:type="dxa" w:w="3288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A16207"/>
                <w:sz w:val="20"/>
              </w:rPr>
              <w:t>▪</w:t>
              <w:tab/>
            </w:r>
            <w:r>
              <w:rPr>
                <w:sz w:val="20"/>
              </w:rPr>
              <w:t>Negotiation and contracts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A16207"/>
                <w:sz w:val="20"/>
              </w:rPr>
              <w:t>▪</w:t>
              <w:tab/>
            </w:r>
            <w:r>
              <w:rPr>
                <w:sz w:val="20"/>
              </w:rPr>
              <w:t>Distributor management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A16207"/>
                <w:sz w:val="20"/>
              </w:rPr>
              <w:t>▪</w:t>
              <w:tab/>
            </w:r>
            <w:r>
              <w:rPr>
                <w:sz w:val="20"/>
              </w:rPr>
              <w:t>Sales forecasting</w:t>
            </w:r>
          </w:p>
        </w:tc>
        <w:tc>
          <w:tcPr>
            <w:tcW w:type="dxa" w:w="3288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A16207"/>
                <w:sz w:val="20"/>
              </w:rPr>
              <w:t>▪</w:t>
              <w:tab/>
            </w:r>
            <w:r>
              <w:rPr>
                <w:sz w:val="20"/>
              </w:rPr>
              <w:t>CRM (Salesforce)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A16207"/>
                <w:sz w:val="20"/>
              </w:rPr>
              <w:t>▪</w:t>
              <w:tab/>
            </w:r>
            <w:r>
              <w:rPr>
                <w:sz w:val="20"/>
              </w:rPr>
              <w:t>MS Excel and Power BI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A16207"/>
                <w:sz w:val="20"/>
              </w:rPr>
              <w:t>▪</w:t>
              <w:tab/>
            </w:r>
            <w:r>
              <w:rPr>
                <w:sz w:val="20"/>
              </w:rPr>
              <w:t>GCC market knowledge</w:t>
            </w:r>
          </w:p>
        </w:tc>
      </w:tr>
    </w:tbl>
    <w:p>
      <w:pPr>
        <w:keepNext/>
        <w:pBdr>
          <w:bottom w:val="single" w:sz="8" w:space="3" w:color="A16207"/>
        </w:pBdr>
        <w:spacing w:before="240" w:after="100"/>
      </w:pPr>
      <w:r>
        <w:rPr>
          <w:b/>
          <w:caps/>
          <w:color w:val="1C1917"/>
          <w:spacing w:val="30"/>
          <w:sz w:val="23"/>
        </w:rPr>
        <w:t>Professional experience</w:t>
      </w:r>
    </w:p>
    <w:p>
      <w:pPr>
        <w:keepNext/>
        <w:tabs>
          <w:tab w:pos="9865" w:val="right"/>
        </w:tabs>
        <w:spacing w:before="140" w:after="0"/>
      </w:pPr>
      <w:r>
        <w:rPr>
          <w:b/>
        </w:rPr>
        <w:t>Business Development Executive</w:t>
      </w:r>
      <w:r>
        <w:rPr>
          <w:color w:val="475569"/>
        </w:rPr>
        <w:tab/>
        <w:t>Mar 2022 – Present</w:t>
      </w:r>
    </w:p>
    <w:p>
      <w:pPr>
        <w:spacing w:before="0" w:after="40"/>
      </w:pPr>
      <w:r>
        <w:rPr>
          <w:color w:val="A16207"/>
        </w:rPr>
        <w:t>[Company Name], Dubai, UAE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A16207"/>
        </w:rPr>
        <w:t>•</w:t>
        <w:tab/>
      </w:r>
      <w:r>
        <w:t>Grew key-account revenue from AED 3.2M to AED 5.1M in two years across 40 retail outlets.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A16207"/>
        </w:rPr>
        <w:t>•</w:t>
        <w:tab/>
      </w:r>
      <w:r>
        <w:t>Opened 18 new accounts in Sharjah and the Northern Emirates.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A16207"/>
        </w:rPr>
        <w:t>•</w:t>
        <w:tab/>
      </w:r>
      <w:r>
        <w:t>Negotiated annual listing and promotion agreements with two national hypermarket chains.</w:t>
      </w:r>
    </w:p>
    <w:p>
      <w:pPr>
        <w:keepNext/>
        <w:tabs>
          <w:tab w:pos="9865" w:val="right"/>
        </w:tabs>
        <w:spacing w:before="140" w:after="0"/>
      </w:pPr>
      <w:r>
        <w:rPr>
          <w:b/>
        </w:rPr>
        <w:t>Sales Executive</w:t>
      </w:r>
      <w:r>
        <w:rPr>
          <w:color w:val="475569"/>
        </w:rPr>
        <w:tab/>
        <w:t>Jan 2020 – Feb 2022</w:t>
      </w:r>
    </w:p>
    <w:p>
      <w:pPr>
        <w:spacing w:before="0" w:after="40"/>
      </w:pPr>
      <w:r>
        <w:rPr>
          <w:color w:val="A16207"/>
        </w:rPr>
        <w:t>[Company Name], Abu Dhabi, UAE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A16207"/>
        </w:rPr>
        <w:t>•</w:t>
        <w:tab/>
      </w:r>
      <w:r>
        <w:t>Managed 60 traditional-trade and pharmacy accounts; achieved 112% of target in 2021.</w:t>
      </w:r>
    </w:p>
    <w:p>
      <w:pPr>
        <w:keepNext/>
        <w:tabs>
          <w:tab w:pos="9865" w:val="right"/>
        </w:tabs>
        <w:spacing w:before="140" w:after="0"/>
      </w:pPr>
      <w:r>
        <w:rPr>
          <w:b/>
        </w:rPr>
        <w:t>Sales Officer</w:t>
      </w:r>
      <w:r>
        <w:rPr>
          <w:color w:val="475569"/>
        </w:rPr>
        <w:tab/>
        <w:t>Jul 2018 – Dec 2019</w:t>
      </w:r>
    </w:p>
    <w:p>
      <w:pPr>
        <w:spacing w:before="0" w:after="40"/>
      </w:pPr>
      <w:r>
        <w:rPr>
          <w:color w:val="A16207"/>
        </w:rPr>
        <w:t>[Company Name], [City, Country]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A16207"/>
        </w:rPr>
        <w:t>•</w:t>
        <w:tab/>
      </w:r>
      <w:r>
        <w:t>Built a distributor network covering 300 retail outlets.</w:t>
      </w:r>
    </w:p>
    <w:p>
      <w:pPr>
        <w:keepNext/>
        <w:pBdr>
          <w:bottom w:val="single" w:sz="8" w:space="3" w:color="A16207"/>
        </w:pBdr>
        <w:spacing w:before="240" w:after="100"/>
      </w:pPr>
      <w:r>
        <w:rPr>
          <w:b/>
          <w:caps/>
          <w:color w:val="1C1917"/>
          <w:spacing w:val="30"/>
          <w:sz w:val="23"/>
        </w:rPr>
        <w:t>Education &amp; certifications</w:t>
      </w:r>
    </w:p>
    <w:p>
      <w:pPr>
        <w:keepNext/>
        <w:tabs>
          <w:tab w:pos="9865" w:val="right"/>
        </w:tabs>
        <w:spacing w:before="80" w:after="0"/>
      </w:pPr>
      <w:r>
        <w:rPr>
          <w:b/>
        </w:rPr>
        <w:t>BBA (Marketing)</w:t>
      </w:r>
      <w:r>
        <w:t xml:space="preserve"> — [University Name], [Country]</w:t>
      </w:r>
      <w:r>
        <w:rPr>
          <w:color w:val="475569"/>
        </w:rPr>
        <w:tab/>
        <w:t>2018</w:t>
      </w:r>
    </w:p>
    <w:p>
      <w:pPr>
        <w:spacing w:before="0" w:after="40"/>
      </w:pPr>
      <w:r>
        <w:rPr>
          <w:i/>
          <w:color w:val="475569"/>
          <w:sz w:val="19"/>
        </w:rPr>
        <w:t>Degree attested for use in the UAE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A16207"/>
        </w:rPr>
        <w:t>•</w:t>
        <w:tab/>
      </w:r>
      <w:r>
        <w:t>Certified Sales Professional — [Institute], 2023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A16207"/>
        </w:rPr>
        <w:t>•</w:t>
        <w:tab/>
      </w:r>
      <w:r>
        <w:t>Microsoft Excel — Advanced, 2022</w:t>
      </w:r>
    </w:p>
    <w:p>
      <w:pPr>
        <w:spacing w:before="200" w:after="40"/>
      </w:pPr>
      <w:r>
        <w:rPr>
          <w:i/>
          <w:color w:val="475569"/>
        </w:rPr>
        <w:t>References available on request.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